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7E" w:rsidRPr="00BC389D" w:rsidRDefault="00EA487E" w:rsidP="00EA487E">
      <w:bookmarkStart w:id="0" w:name="_GoBack"/>
      <w:bookmarkEnd w:id="0"/>
      <w:r w:rsidRPr="00BC389D">
        <w:t xml:space="preserve">Vedlegg til </w:t>
      </w:r>
      <w:r>
        <w:t xml:space="preserve">EQS 756 - </w:t>
      </w:r>
      <w:r w:rsidRPr="00BC389D">
        <w:t>Rutine for dokumentbehandling i Helse Midt-Norge:</w:t>
      </w:r>
    </w:p>
    <w:p w:rsidR="00EA487E" w:rsidRDefault="000E7CCF" w:rsidP="00EA487E">
      <w:pPr>
        <w:rPr>
          <w:b/>
          <w:sz w:val="32"/>
        </w:rPr>
      </w:pPr>
      <w:r>
        <w:rPr>
          <w:b/>
          <w:sz w:val="32"/>
        </w:rPr>
        <w:t>Vedlegg 2</w:t>
      </w:r>
      <w:r w:rsidR="00EA487E">
        <w:rPr>
          <w:b/>
          <w:sz w:val="32"/>
        </w:rPr>
        <w:t xml:space="preserve">: </w:t>
      </w:r>
    </w:p>
    <w:p w:rsidR="00EA487E" w:rsidRDefault="00610BE8" w:rsidP="00EA487E">
      <w:pPr>
        <w:rPr>
          <w:b/>
          <w:sz w:val="32"/>
        </w:rPr>
      </w:pPr>
      <w:r>
        <w:rPr>
          <w:b/>
          <w:sz w:val="32"/>
        </w:rPr>
        <w:t>Saksmappetyper og dokumentkategorier</w:t>
      </w:r>
    </w:p>
    <w:p w:rsidR="00592C52" w:rsidRDefault="00592C52" w:rsidP="00EA487E">
      <w:pPr>
        <w:pStyle w:val="Overskrift3"/>
        <w:ind w:left="0" w:firstLine="0"/>
      </w:pPr>
      <w:r>
        <w:t>Saksmappetyper</w:t>
      </w:r>
    </w:p>
    <w:p w:rsidR="00592C52" w:rsidRDefault="00592C52" w:rsidP="00592C52">
      <w:pPr>
        <w:rPr>
          <w:szCs w:val="24"/>
        </w:rPr>
      </w:pPr>
      <w:r>
        <w:t>Bruk av saksmappetyper gir en gevinst i form av automatisk standard arkivdel med evt. tilgangskode. Gjør det mulig å ta ut statistikk og gjør det mulig å søke etter</w:t>
      </w:r>
      <w:r>
        <w:rPr>
          <w:color w:val="000000"/>
        </w:rPr>
        <w:t xml:space="preserve"> mappetype.</w:t>
      </w:r>
    </w:p>
    <w:p w:rsidR="00EA487E" w:rsidRDefault="00EA487E" w:rsidP="00592C52"/>
    <w:p w:rsidR="00B63833" w:rsidRPr="00B70D31" w:rsidRDefault="00B63833" w:rsidP="00B63833">
      <w:pPr>
        <w:rPr>
          <w:sz w:val="22"/>
          <w:u w:val="single"/>
        </w:rPr>
      </w:pPr>
      <w:r>
        <w:rPr>
          <w:u w:val="single"/>
        </w:rPr>
        <w:t>Saksmappetyper til p</w:t>
      </w:r>
      <w:r w:rsidRPr="00B70D31">
        <w:rPr>
          <w:u w:val="single"/>
        </w:rPr>
        <w:t>ersonalmapper;</w:t>
      </w:r>
    </w:p>
    <w:p w:rsidR="00592C52" w:rsidRDefault="00592C52" w:rsidP="00592C52">
      <w:r>
        <w:t>Kode: P1</w:t>
      </w:r>
    </w:p>
    <w:p w:rsidR="00592C52" w:rsidRDefault="00592C52" w:rsidP="00592C52">
      <w:pPr>
        <w:rPr>
          <w:b/>
          <w:bCs/>
        </w:rPr>
      </w:pPr>
      <w:r>
        <w:rPr>
          <w:b/>
          <w:bCs/>
        </w:rPr>
        <w:t>Beskrivelse: Personalmappe P1</w:t>
      </w:r>
    </w:p>
    <w:p w:rsidR="00592C52" w:rsidRDefault="00592C52" w:rsidP="00592C52">
      <w:r>
        <w:t>Arkivdel: Personalarkiv – aktiv</w:t>
      </w:r>
    </w:p>
    <w:p w:rsidR="00592C52" w:rsidRDefault="00592C52" w:rsidP="00592C52">
      <w:r>
        <w:t>Kategori: Noark saksmappe</w:t>
      </w:r>
    </w:p>
    <w:p w:rsidR="00592C52" w:rsidRDefault="00592C52" w:rsidP="00592C52">
      <w:r>
        <w:t>Tilgangskode: P1 – Personalsaker Personalmappe 1 – Arbeidsforhold</w:t>
      </w:r>
    </w:p>
    <w:p w:rsidR="00592C52" w:rsidRDefault="00592C52" w:rsidP="00592C52"/>
    <w:p w:rsidR="00592C52" w:rsidRDefault="00592C52" w:rsidP="00592C52">
      <w:r>
        <w:t>Kode: P2</w:t>
      </w:r>
    </w:p>
    <w:p w:rsidR="00592C52" w:rsidRDefault="00592C52" w:rsidP="00592C52">
      <w:pPr>
        <w:rPr>
          <w:b/>
          <w:bCs/>
        </w:rPr>
      </w:pPr>
      <w:r>
        <w:rPr>
          <w:b/>
          <w:bCs/>
        </w:rPr>
        <w:t>Beskrivelse: Personalmappe P2</w:t>
      </w:r>
    </w:p>
    <w:p w:rsidR="00592C52" w:rsidRDefault="00592C52" w:rsidP="00592C52">
      <w:r>
        <w:t>Arkivdel: Personalarkiv – aktiv</w:t>
      </w:r>
    </w:p>
    <w:p w:rsidR="00592C52" w:rsidRDefault="00592C52" w:rsidP="00592C52">
      <w:r>
        <w:t>Kategori: Noark saksmappe</w:t>
      </w:r>
    </w:p>
    <w:p w:rsidR="00592C52" w:rsidRDefault="00592C52" w:rsidP="00592C52">
      <w:r>
        <w:t xml:space="preserve">Tilgangskode: P2 – Personalsaker sensitive Personalmappe 2 – HMS og oppfølging av ansatte </w:t>
      </w:r>
    </w:p>
    <w:p w:rsidR="00592C52" w:rsidRDefault="00592C52" w:rsidP="00592C52"/>
    <w:p w:rsidR="00592C52" w:rsidRDefault="00592C52" w:rsidP="00592C52">
      <w:r>
        <w:t>Kode: P3</w:t>
      </w:r>
    </w:p>
    <w:p w:rsidR="00592C52" w:rsidRDefault="00592C52" w:rsidP="00592C52">
      <w:pPr>
        <w:rPr>
          <w:b/>
          <w:bCs/>
        </w:rPr>
      </w:pPr>
      <w:r>
        <w:rPr>
          <w:b/>
          <w:bCs/>
        </w:rPr>
        <w:t>Beskrivelse: Personalmappe P3</w:t>
      </w:r>
    </w:p>
    <w:p w:rsidR="00592C52" w:rsidRDefault="00592C52" w:rsidP="00592C52">
      <w:r>
        <w:t>Arkivdel: Personalarkiv – aktiv</w:t>
      </w:r>
    </w:p>
    <w:p w:rsidR="00592C52" w:rsidRDefault="00592C52" w:rsidP="00592C52">
      <w:r>
        <w:t>Kategori: Noark saksmappe</w:t>
      </w:r>
    </w:p>
    <w:p w:rsidR="00592C52" w:rsidRDefault="00592C52" w:rsidP="00592C52">
      <w:r>
        <w:t>Tilgangskode: P3 – Personalsaker ekstra sensitive Personalmappe 3 – personalsaker</w:t>
      </w:r>
    </w:p>
    <w:p w:rsidR="00592C52" w:rsidRDefault="00592C52" w:rsidP="00592C52"/>
    <w:p w:rsidR="00592C52" w:rsidRDefault="00592C52" w:rsidP="00592C52">
      <w:r>
        <w:t>Kode: P4</w:t>
      </w:r>
    </w:p>
    <w:p w:rsidR="00592C52" w:rsidRDefault="00592C52" w:rsidP="00592C52">
      <w:pPr>
        <w:rPr>
          <w:b/>
          <w:bCs/>
        </w:rPr>
      </w:pPr>
      <w:r>
        <w:rPr>
          <w:b/>
          <w:bCs/>
        </w:rPr>
        <w:t>Beskrivelse: Personalmappe P4</w:t>
      </w:r>
    </w:p>
    <w:p w:rsidR="00592C52" w:rsidRDefault="00592C52" w:rsidP="00592C52">
      <w:r>
        <w:t>Arkivdel: Personalarkiv – aktiv</w:t>
      </w:r>
    </w:p>
    <w:p w:rsidR="00592C52" w:rsidRDefault="00592C52" w:rsidP="00592C52">
      <w:r>
        <w:t>Kategori: Noark saksmappe</w:t>
      </w:r>
    </w:p>
    <w:p w:rsidR="00592C52" w:rsidRDefault="00592C52" w:rsidP="00592C52">
      <w:r>
        <w:t>Tilgangskode: P4 – Personalmapper dokumentavdelingen</w:t>
      </w:r>
    </w:p>
    <w:p w:rsidR="00592C52" w:rsidRDefault="00592C52" w:rsidP="00592C52"/>
    <w:p w:rsidR="00B63833" w:rsidRPr="00B70D31" w:rsidRDefault="00B63833" w:rsidP="00B63833">
      <w:pPr>
        <w:rPr>
          <w:u w:val="single"/>
        </w:rPr>
      </w:pPr>
      <w:r w:rsidRPr="00B70D31">
        <w:rPr>
          <w:u w:val="single"/>
        </w:rPr>
        <w:t>Andre</w:t>
      </w:r>
      <w:r>
        <w:rPr>
          <w:u w:val="single"/>
        </w:rPr>
        <w:t xml:space="preserve"> saksmappetyper</w:t>
      </w:r>
      <w:r w:rsidRPr="00B70D31">
        <w:rPr>
          <w:u w:val="single"/>
        </w:rPr>
        <w:t>:</w:t>
      </w:r>
    </w:p>
    <w:p w:rsidR="00592C52" w:rsidRDefault="00592C52" w:rsidP="00592C52">
      <w:pPr>
        <w:rPr>
          <w:sz w:val="22"/>
        </w:rPr>
      </w:pPr>
      <w:r>
        <w:t xml:space="preserve">Kode: </w:t>
      </w:r>
      <w:r>
        <w:rPr>
          <w:color w:val="000000"/>
        </w:rPr>
        <w:t>BA</w:t>
      </w:r>
    </w:p>
    <w:p w:rsidR="00592C52" w:rsidRDefault="00592C52" w:rsidP="00592C52">
      <w:r>
        <w:rPr>
          <w:b/>
          <w:bCs/>
        </w:rPr>
        <w:t xml:space="preserve">Beskrivelse: </w:t>
      </w:r>
      <w:r>
        <w:t xml:space="preserve">Barnevern </w:t>
      </w:r>
    </w:p>
    <w:p w:rsidR="00592C52" w:rsidRDefault="00592C52" w:rsidP="00592C52">
      <w:r>
        <w:t>Arkivdel: Sakarkiv</w:t>
      </w:r>
    </w:p>
    <w:p w:rsidR="00592C52" w:rsidRDefault="00592C52" w:rsidP="00592C52">
      <w:r>
        <w:t>Kategori: Noark saksmappe</w:t>
      </w:r>
    </w:p>
    <w:p w:rsidR="00592C52" w:rsidRDefault="00592C52" w:rsidP="00592C52">
      <w:r>
        <w:t>Tilgangskode: PA – Pasientsaker</w:t>
      </w:r>
    </w:p>
    <w:p w:rsidR="00592C52" w:rsidRDefault="00592C52" w:rsidP="00592C52">
      <w:r>
        <w:t xml:space="preserve"> </w:t>
      </w:r>
    </w:p>
    <w:p w:rsidR="00592C52" w:rsidRDefault="00592C52" w:rsidP="00592C52">
      <w:r>
        <w:t>Kode: KL</w:t>
      </w:r>
    </w:p>
    <w:p w:rsidR="00592C52" w:rsidRDefault="00592C52" w:rsidP="00592C52">
      <w:r>
        <w:rPr>
          <w:b/>
          <w:bCs/>
        </w:rPr>
        <w:t xml:space="preserve">Beskrivelse: </w:t>
      </w:r>
      <w:r>
        <w:t xml:space="preserve">Klagesaker </w:t>
      </w:r>
    </w:p>
    <w:p w:rsidR="00592C52" w:rsidRDefault="00592C52" w:rsidP="00592C52">
      <w:r>
        <w:t>Arkivdel: Sakarkiv</w:t>
      </w:r>
    </w:p>
    <w:p w:rsidR="00592C52" w:rsidRDefault="00592C52" w:rsidP="00592C52">
      <w:r>
        <w:t>Kategori: Noark saksmappe</w:t>
      </w:r>
    </w:p>
    <w:p w:rsidR="00592C52" w:rsidRDefault="00592C52" w:rsidP="00592C52">
      <w:r>
        <w:t>Tilgangskode: PA - Pasientsaker</w:t>
      </w:r>
    </w:p>
    <w:p w:rsidR="00592C52" w:rsidRDefault="00592C52" w:rsidP="00592C52"/>
    <w:p w:rsidR="00251E47" w:rsidRDefault="00251E47" w:rsidP="00592C52"/>
    <w:p w:rsidR="00592C52" w:rsidRDefault="00592C52" w:rsidP="00592C52">
      <w:r>
        <w:lastRenderedPageBreak/>
        <w:t xml:space="preserve">Kode: </w:t>
      </w:r>
      <w:r>
        <w:rPr>
          <w:color w:val="000000"/>
        </w:rPr>
        <w:t>SK</w:t>
      </w:r>
    </w:p>
    <w:p w:rsidR="00592C52" w:rsidRDefault="00592C52" w:rsidP="00592C52">
      <w:r>
        <w:rPr>
          <w:b/>
          <w:bCs/>
        </w:rPr>
        <w:t xml:space="preserve">Beskrivelse: </w:t>
      </w:r>
      <w:r>
        <w:t xml:space="preserve">Samhandlingsavvik kommuner </w:t>
      </w:r>
    </w:p>
    <w:p w:rsidR="00592C52" w:rsidRDefault="00592C52" w:rsidP="00592C52">
      <w:r>
        <w:t>Arkivdel: Sakarkiv</w:t>
      </w:r>
    </w:p>
    <w:p w:rsidR="00592C52" w:rsidRDefault="00592C52" w:rsidP="00592C52">
      <w:r>
        <w:t>Kategori: Noark saksmappe</w:t>
      </w:r>
    </w:p>
    <w:p w:rsidR="00592C52" w:rsidRDefault="00592C52" w:rsidP="00592C52">
      <w:r>
        <w:t>Tilgangskode: PA – Pasientsaker</w:t>
      </w:r>
    </w:p>
    <w:p w:rsidR="00592C52" w:rsidRDefault="00592C52" w:rsidP="00592C52">
      <w:pPr>
        <w:rPr>
          <w:color w:val="1F497D"/>
        </w:rPr>
      </w:pPr>
    </w:p>
    <w:p w:rsidR="00592C52" w:rsidRDefault="00592C52" w:rsidP="00592C52">
      <w:pPr>
        <w:rPr>
          <w:sz w:val="22"/>
        </w:rPr>
      </w:pPr>
      <w:r>
        <w:t>Kode: TI</w:t>
      </w:r>
    </w:p>
    <w:p w:rsidR="00592C52" w:rsidRDefault="00592C52" w:rsidP="00592C52">
      <w:pPr>
        <w:rPr>
          <w:color w:val="000000"/>
        </w:rPr>
      </w:pPr>
      <w:r>
        <w:rPr>
          <w:b/>
          <w:bCs/>
        </w:rPr>
        <w:t xml:space="preserve">Beskrivelse: </w:t>
      </w:r>
      <w:r>
        <w:t xml:space="preserve">Tilsynssaker </w:t>
      </w:r>
    </w:p>
    <w:p w:rsidR="00592C52" w:rsidRDefault="00592C52" w:rsidP="00592C52">
      <w:pPr>
        <w:rPr>
          <w:color w:val="000000"/>
        </w:rPr>
      </w:pPr>
      <w:r>
        <w:t xml:space="preserve">Arkivdel: Sakarkiv </w:t>
      </w:r>
    </w:p>
    <w:p w:rsidR="00592C52" w:rsidRDefault="00592C52" w:rsidP="00592C52">
      <w:r>
        <w:t>Kategori: Noark saksmappe</w:t>
      </w:r>
    </w:p>
    <w:p w:rsidR="00592C52" w:rsidRDefault="00592C52" w:rsidP="00592C52">
      <w:r>
        <w:t>Tilgangskode: PA – Pasientsaker</w:t>
      </w:r>
    </w:p>
    <w:p w:rsidR="00592C52" w:rsidRDefault="00592C52" w:rsidP="00592C52">
      <w:pPr>
        <w:rPr>
          <w:color w:val="1F497D"/>
        </w:rPr>
      </w:pPr>
    </w:p>
    <w:p w:rsidR="00592C52" w:rsidRDefault="00610BE8" w:rsidP="00F7106B">
      <w:pPr>
        <w:pStyle w:val="Overskrift3"/>
      </w:pPr>
      <w:r>
        <w:t>Dokumentkategorier</w:t>
      </w:r>
    </w:p>
    <w:p w:rsidR="00592C52" w:rsidRDefault="00592C52" w:rsidP="00592C52">
      <w:r>
        <w:t xml:space="preserve">Bruk av dokumenttyper gir en gevinst i form av for eksempel automatisk frist. </w:t>
      </w:r>
    </w:p>
    <w:p w:rsidR="00592C52" w:rsidRDefault="00592C52" w:rsidP="00592C52">
      <w:pPr>
        <w:rPr>
          <w:szCs w:val="24"/>
        </w:rPr>
      </w:pPr>
      <w:r>
        <w:t>Gjør det mulig å søke etter og å ta ut statistikk på dokumenttype.</w:t>
      </w:r>
    </w:p>
    <w:p w:rsidR="00592C52" w:rsidRDefault="00592C52" w:rsidP="00592C52">
      <w:pPr>
        <w:rPr>
          <w:szCs w:val="24"/>
        </w:rPr>
      </w:pPr>
    </w:p>
    <w:p w:rsidR="00592C52" w:rsidRDefault="00592C52" w:rsidP="00592C52">
      <w:pPr>
        <w:rPr>
          <w:sz w:val="22"/>
        </w:rPr>
      </w:pPr>
      <w:r>
        <w:t>A – Avtale – ingen frist</w:t>
      </w:r>
    </w:p>
    <w:p w:rsidR="00592C52" w:rsidRDefault="00592C52" w:rsidP="00592C52">
      <w:r>
        <w:t>B - Brev – 21 dager</w:t>
      </w:r>
    </w:p>
    <w:p w:rsidR="00592C52" w:rsidRDefault="00592C52" w:rsidP="00592C52">
      <w:r>
        <w:t>H - Høring – ingen frist</w:t>
      </w:r>
    </w:p>
    <w:p w:rsidR="00592C52" w:rsidRDefault="00592C52" w:rsidP="00592C52">
      <w:r>
        <w:t>I - Innsynsbegjæring – 5 dager</w:t>
      </w:r>
    </w:p>
    <w:p w:rsidR="00592C52" w:rsidRDefault="00592C52" w:rsidP="00592C52">
      <w:r>
        <w:rPr>
          <w:color w:val="000000"/>
        </w:rPr>
        <w:t xml:space="preserve">J - </w:t>
      </w:r>
      <w:r>
        <w:t>Innsyn i journal (forsikringsselskap) – 30 dager</w:t>
      </w:r>
    </w:p>
    <w:p w:rsidR="00592C52" w:rsidRDefault="00592C52" w:rsidP="00592C52">
      <w:r>
        <w:t xml:space="preserve">KL </w:t>
      </w:r>
      <w:r>
        <w:rPr>
          <w:color w:val="000000"/>
        </w:rPr>
        <w:t>–</w:t>
      </w:r>
      <w:r w:rsidR="0007793D">
        <w:t xml:space="preserve"> klage </w:t>
      </w:r>
    </w:p>
    <w:p w:rsidR="00592C52" w:rsidRDefault="00592C52" w:rsidP="00592C52">
      <w:pPr>
        <w:rPr>
          <w:color w:val="000000"/>
        </w:rPr>
      </w:pPr>
    </w:p>
    <w:p w:rsidR="003A17DB" w:rsidRDefault="00B378B4"/>
    <w:sectPr w:rsidR="003A17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C52" w:rsidRDefault="00592C52" w:rsidP="00592C52">
      <w:r>
        <w:separator/>
      </w:r>
    </w:p>
  </w:endnote>
  <w:endnote w:type="continuationSeparator" w:id="0">
    <w:p w:rsidR="00592C52" w:rsidRDefault="00592C52" w:rsidP="0059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52" w:rsidRPr="00D50FDE" w:rsidRDefault="00592C52" w:rsidP="00592C52">
    <w:pPr>
      <w:pStyle w:val="Bunntekst"/>
      <w:rPr>
        <w:color w:val="A5A5A5" w:themeColor="accent3"/>
      </w:rPr>
    </w:pPr>
    <w:r w:rsidRPr="00D50FDE">
      <w:rPr>
        <w:color w:val="A5A5A5" w:themeColor="accent3"/>
        <w:sz w:val="20"/>
      </w:rPr>
      <w:t xml:space="preserve">Rutine for dokumentbehandling i Helse Midt-Norge – Vedlegg </w:t>
    </w:r>
    <w:r w:rsidR="00C529BF" w:rsidRPr="00D50FDE">
      <w:rPr>
        <w:color w:val="A5A5A5" w:themeColor="accent3"/>
        <w:sz w:val="20"/>
      </w:rPr>
      <w:t>2</w:t>
    </w:r>
    <w:r w:rsidRPr="00D50FDE">
      <w:rPr>
        <w:color w:val="A5A5A5" w:themeColor="accent3"/>
        <w:sz w:val="20"/>
      </w:rPr>
      <w:t xml:space="preserve"> Saksmappetyper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C52" w:rsidRDefault="00592C52" w:rsidP="00592C52">
      <w:r>
        <w:separator/>
      </w:r>
    </w:p>
  </w:footnote>
  <w:footnote w:type="continuationSeparator" w:id="0">
    <w:p w:rsidR="00592C52" w:rsidRDefault="00592C52" w:rsidP="00592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52" w:rsidRDefault="00592C52">
    <w:pPr>
      <w:pStyle w:val="Topptekst"/>
    </w:pPr>
    <w:r w:rsidRPr="00F216FD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4D8CDC62" wp14:editId="2FEF85C7">
          <wp:simplePos x="0" y="0"/>
          <wp:positionH relativeFrom="column">
            <wp:posOffset>-209550</wp:posOffset>
          </wp:positionH>
          <wp:positionV relativeFrom="paragraph">
            <wp:posOffset>-133985</wp:posOffset>
          </wp:positionV>
          <wp:extent cx="2268855" cy="382270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se-midtnor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85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009"/>
    <w:multiLevelType w:val="hybridMultilevel"/>
    <w:tmpl w:val="679EB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24BB8"/>
    <w:multiLevelType w:val="hybridMultilevel"/>
    <w:tmpl w:val="22DCAA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400C6"/>
    <w:multiLevelType w:val="multilevel"/>
    <w:tmpl w:val="8496FD64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23635D6"/>
    <w:multiLevelType w:val="hybridMultilevel"/>
    <w:tmpl w:val="081A4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52"/>
    <w:rsid w:val="0007793D"/>
    <w:rsid w:val="000E7CCF"/>
    <w:rsid w:val="00251E47"/>
    <w:rsid w:val="00592C52"/>
    <w:rsid w:val="00610BE8"/>
    <w:rsid w:val="006D40F7"/>
    <w:rsid w:val="0099536E"/>
    <w:rsid w:val="00AC56FA"/>
    <w:rsid w:val="00B378B4"/>
    <w:rsid w:val="00B63833"/>
    <w:rsid w:val="00C01AE8"/>
    <w:rsid w:val="00C33075"/>
    <w:rsid w:val="00C529BF"/>
    <w:rsid w:val="00D50FDE"/>
    <w:rsid w:val="00D97380"/>
    <w:rsid w:val="00E8099D"/>
    <w:rsid w:val="00EA487E"/>
    <w:rsid w:val="00F7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F6284-3A58-4857-B82D-5BFAFFF4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52"/>
    <w:rPr>
      <w:rFonts w:ascii="Calibri" w:eastAsia="Calibri" w:hAnsi="Calibri"/>
      <w:sz w:val="24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D40F7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D40F7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92C52"/>
    <w:pPr>
      <w:keepNext/>
      <w:keepLines/>
      <w:spacing w:before="200"/>
      <w:ind w:left="720" w:hanging="720"/>
      <w:outlineLvl w:val="2"/>
    </w:pPr>
    <w:rPr>
      <w:rFonts w:ascii="Cambria" w:eastAsia="Times New Roman" w:hAnsi="Cambria"/>
      <w:b/>
      <w:bCs/>
      <w:color w:val="1F497D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92C52"/>
    <w:pPr>
      <w:keepNext/>
      <w:keepLines/>
      <w:spacing w:before="200"/>
      <w:ind w:left="864" w:hanging="864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92C52"/>
    <w:pPr>
      <w:keepNext/>
      <w:keepLines/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92C52"/>
    <w:pPr>
      <w:keepNext/>
      <w:keepLines/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592C52"/>
    <w:pPr>
      <w:keepNext/>
      <w:keepLines/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592C52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92C52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6D40F7"/>
    <w:rPr>
      <w:rFonts w:asciiTheme="minorHAnsi" w:eastAsiaTheme="majorEastAsia" w:hAnsiTheme="minorHAnsi" w:cstheme="majorBidi"/>
      <w:b/>
      <w:sz w:val="24"/>
      <w:szCs w:val="26"/>
      <w:lang w:eastAsia="nb-NO"/>
    </w:rPr>
  </w:style>
  <w:style w:type="paragraph" w:customStyle="1" w:styleId="BasicParagraph">
    <w:name w:val="[Basic Paragraph]"/>
    <w:basedOn w:val="Normal"/>
    <w:uiPriority w:val="99"/>
    <w:rsid w:val="006D40F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GB"/>
    </w:rPr>
  </w:style>
  <w:style w:type="character" w:customStyle="1" w:styleId="Overskrift1Tegn">
    <w:name w:val="Overskrift 1 Tegn"/>
    <w:basedOn w:val="Standardskriftforavsnitt"/>
    <w:link w:val="Overskrift1"/>
    <w:rsid w:val="006D40F7"/>
    <w:rPr>
      <w:rFonts w:asciiTheme="minorHAnsi" w:eastAsiaTheme="majorEastAsia" w:hAnsiTheme="minorHAnsi" w:cstheme="majorBidi"/>
      <w:b/>
      <w:sz w:val="28"/>
      <w:szCs w:val="32"/>
      <w:lang w:eastAsia="nb-NO"/>
    </w:rPr>
  </w:style>
  <w:style w:type="paragraph" w:styleId="Topptekst">
    <w:name w:val="header"/>
    <w:basedOn w:val="Normal"/>
    <w:link w:val="TopptekstTegn"/>
    <w:rsid w:val="006D40F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TopptekstTegn">
    <w:name w:val="Topptekst Tegn"/>
    <w:basedOn w:val="Standardskriftforavsnitt"/>
    <w:link w:val="Topptekst"/>
    <w:rsid w:val="006D40F7"/>
    <w:rPr>
      <w:rFonts w:asciiTheme="minorHAnsi" w:eastAsia="Times New Roman" w:hAnsiTheme="minorHAnsi"/>
      <w:sz w:val="24"/>
      <w:lang w:eastAsia="nb-NO"/>
    </w:rPr>
  </w:style>
  <w:style w:type="paragraph" w:styleId="Bunntekst">
    <w:name w:val="footer"/>
    <w:basedOn w:val="Normal"/>
    <w:link w:val="BunntekstTegn"/>
    <w:rsid w:val="006D40F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BunntekstTegn">
    <w:name w:val="Bunntekst Tegn"/>
    <w:basedOn w:val="Standardskriftforavsnitt"/>
    <w:link w:val="Bunntekst"/>
    <w:rsid w:val="006D40F7"/>
    <w:rPr>
      <w:rFonts w:asciiTheme="minorHAnsi" w:eastAsia="Times New Roman" w:hAnsiTheme="minorHAnsi"/>
      <w:sz w:val="24"/>
      <w:lang w:eastAsia="nb-NO"/>
    </w:rPr>
  </w:style>
  <w:style w:type="character" w:styleId="Sidetall">
    <w:name w:val="page number"/>
    <w:basedOn w:val="Standardskriftforavsnitt"/>
    <w:rsid w:val="006D40F7"/>
  </w:style>
  <w:style w:type="paragraph" w:styleId="Undertittel">
    <w:name w:val="Subtitle"/>
    <w:basedOn w:val="Normal"/>
    <w:next w:val="Normal"/>
    <w:link w:val="UndertittelTegn"/>
    <w:rsid w:val="006D40F7"/>
    <w:pPr>
      <w:numPr>
        <w:ilvl w:val="1"/>
      </w:numPr>
      <w:spacing w:after="160"/>
    </w:pPr>
    <w:rPr>
      <w:rFonts w:eastAsiaTheme="minorEastAsia" w:cstheme="minorBidi"/>
      <w:b/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rsid w:val="006D40F7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nb-NO"/>
    </w:rPr>
  </w:style>
  <w:style w:type="character" w:styleId="Hyperkobling">
    <w:name w:val="Hyperlink"/>
    <w:rsid w:val="006D40F7"/>
    <w:rPr>
      <w:color w:val="0000FF"/>
      <w:u w:val="single"/>
    </w:rPr>
  </w:style>
  <w:style w:type="table" w:styleId="Tabellrutenett">
    <w:name w:val="Table Grid"/>
    <w:basedOn w:val="Vanligtabell"/>
    <w:uiPriority w:val="39"/>
    <w:rsid w:val="006D40F7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592C52"/>
    <w:rPr>
      <w:rFonts w:ascii="Cambria" w:eastAsia="Times New Roman" w:hAnsi="Cambria"/>
      <w:b/>
      <w:bCs/>
      <w:color w:val="1F497D"/>
      <w:sz w:val="24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92C52"/>
    <w:rPr>
      <w:rFonts w:ascii="Cambria" w:eastAsia="Times New Roman" w:hAnsi="Cambria"/>
      <w:b/>
      <w:bCs/>
      <w:i/>
      <w:iCs/>
      <w:color w:val="4F81BD"/>
      <w:sz w:val="24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92C52"/>
    <w:rPr>
      <w:rFonts w:ascii="Cambria" w:eastAsia="Times New Roman" w:hAnsi="Cambria"/>
      <w:color w:val="243F60"/>
      <w:sz w:val="24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92C52"/>
    <w:rPr>
      <w:rFonts w:ascii="Cambria" w:eastAsia="Times New Roman" w:hAnsi="Cambria"/>
      <w:i/>
      <w:iCs/>
      <w:color w:val="243F60"/>
      <w:sz w:val="24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592C52"/>
    <w:rPr>
      <w:rFonts w:ascii="Cambria" w:eastAsia="Times New Roman" w:hAnsi="Cambria"/>
      <w:i/>
      <w:iCs/>
      <w:color w:val="404040"/>
      <w:sz w:val="24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592C52"/>
    <w:rPr>
      <w:rFonts w:ascii="Cambria" w:eastAsia="Times New Roman" w:hAnsi="Cambria"/>
      <w:color w:val="40404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92C52"/>
    <w:rPr>
      <w:rFonts w:ascii="Cambria" w:eastAsia="Times New Roman" w:hAnsi="Cambria"/>
      <w:i/>
      <w:iCs/>
      <w:color w:val="404040"/>
    </w:rPr>
  </w:style>
  <w:style w:type="paragraph" w:styleId="Ingenmellomrom">
    <w:name w:val="No Spacing"/>
    <w:uiPriority w:val="1"/>
    <w:qFormat/>
    <w:rsid w:val="00592C5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Storvik, Aini Camilla</dc:creator>
  <cp:keywords/>
  <dc:description/>
  <cp:lastModifiedBy>Grøtte, Toril</cp:lastModifiedBy>
  <cp:revision>2</cp:revision>
  <dcterms:created xsi:type="dcterms:W3CDTF">2021-03-18T13:43:00Z</dcterms:created>
  <dcterms:modified xsi:type="dcterms:W3CDTF">2021-03-18T13:43:00Z</dcterms:modified>
</cp:coreProperties>
</file>